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6303986D" w:rsidR="003E1CE5" w:rsidRDefault="762E52F8" w:rsidP="00B9B9B6">
      <w:pPr>
        <w:pStyle w:val="NoSpacing"/>
      </w:pPr>
      <w:r w:rsidRPr="00B9B9B6">
        <w:rPr>
          <w:i/>
          <w:iCs/>
          <w:sz w:val="24"/>
          <w:szCs w:val="24"/>
        </w:rPr>
        <w:t>The Great Gatsby</w:t>
      </w:r>
      <w:r w:rsidRPr="00B9B9B6">
        <w:rPr>
          <w:sz w:val="24"/>
          <w:szCs w:val="24"/>
        </w:rPr>
        <w:t xml:space="preserve">, </w:t>
      </w:r>
      <w:proofErr w:type="spellStart"/>
      <w:r w:rsidRPr="00B9B9B6">
        <w:rPr>
          <w:sz w:val="24"/>
          <w:szCs w:val="24"/>
        </w:rPr>
        <w:t>ch.</w:t>
      </w:r>
      <w:proofErr w:type="spellEnd"/>
      <w:r w:rsidRPr="00B9B9B6">
        <w:rPr>
          <w:sz w:val="24"/>
          <w:szCs w:val="24"/>
        </w:rPr>
        <w:t xml:space="preserve"> 7 </w:t>
      </w:r>
    </w:p>
    <w:p w14:paraId="21A374A7" w14:textId="359CFA1D" w:rsidR="762E52F8" w:rsidRDefault="762E52F8" w:rsidP="00B9B9B6">
      <w:pPr>
        <w:pStyle w:val="NoSpacing"/>
        <w:rPr>
          <w:sz w:val="24"/>
          <w:szCs w:val="24"/>
        </w:rPr>
      </w:pPr>
      <w:r w:rsidRPr="00B9B9B6">
        <w:rPr>
          <w:sz w:val="24"/>
          <w:szCs w:val="24"/>
        </w:rPr>
        <w:t>Tone Change Handout</w:t>
      </w:r>
    </w:p>
    <w:p w14:paraId="52EE9F63" w14:textId="4ABBA66D" w:rsidR="00B9B9B6" w:rsidRDefault="00B9B9B6" w:rsidP="00B9B9B6">
      <w:pPr>
        <w:pStyle w:val="NoSpacing"/>
        <w:rPr>
          <w:sz w:val="24"/>
          <w:szCs w:val="24"/>
        </w:rPr>
      </w:pPr>
    </w:p>
    <w:p w14:paraId="08826BFD" w14:textId="0375160B" w:rsidR="762E52F8" w:rsidRDefault="762E52F8" w:rsidP="00B9B9B6">
      <w:pPr>
        <w:pStyle w:val="NoSpacing"/>
        <w:rPr>
          <w:sz w:val="24"/>
          <w:szCs w:val="24"/>
        </w:rPr>
      </w:pPr>
      <w:r w:rsidRPr="00B9B9B6">
        <w:rPr>
          <w:sz w:val="24"/>
          <w:szCs w:val="24"/>
        </w:rPr>
        <w:t xml:space="preserve">At the beginning of the novel, Nick arrived in New York excited to pursue his American dream – a life of wealth, youth, and beauty. The tone of the opening chapters can be characterized </w:t>
      </w:r>
      <w:r w:rsidR="0755931F" w:rsidRPr="00B9B9B6">
        <w:rPr>
          <w:sz w:val="24"/>
          <w:szCs w:val="24"/>
        </w:rPr>
        <w:t xml:space="preserve">with words like wonder, romance, and idealism. </w:t>
      </w:r>
    </w:p>
    <w:p w14:paraId="0117CD29" w14:textId="5DD7B5F9" w:rsidR="0755931F" w:rsidRDefault="0755931F" w:rsidP="00B9B9B6">
      <w:pPr>
        <w:pStyle w:val="NoSpacing"/>
        <w:rPr>
          <w:sz w:val="24"/>
          <w:szCs w:val="24"/>
        </w:rPr>
      </w:pPr>
      <w:r w:rsidRPr="00B9B9B6">
        <w:rPr>
          <w:sz w:val="24"/>
          <w:szCs w:val="24"/>
        </w:rPr>
        <w:t>In chapter 7, however, Nick’s attitude toward the glamorous New York life epitomized b</w:t>
      </w:r>
      <w:r w:rsidR="43E15CCB" w:rsidRPr="00B9B9B6">
        <w:rPr>
          <w:sz w:val="24"/>
          <w:szCs w:val="24"/>
        </w:rPr>
        <w:t xml:space="preserve">y the </w:t>
      </w:r>
      <w:proofErr w:type="spellStart"/>
      <w:r w:rsidR="0A39ADC4" w:rsidRPr="00B9B9B6">
        <w:rPr>
          <w:sz w:val="24"/>
          <w:szCs w:val="24"/>
        </w:rPr>
        <w:t>Buchanans</w:t>
      </w:r>
      <w:proofErr w:type="spellEnd"/>
      <w:r w:rsidR="0A39ADC4" w:rsidRPr="00B9B9B6">
        <w:rPr>
          <w:sz w:val="24"/>
          <w:szCs w:val="24"/>
        </w:rPr>
        <w:t xml:space="preserve">’ </w:t>
      </w:r>
      <w:r w:rsidR="43E15CCB" w:rsidRPr="00B9B9B6">
        <w:rPr>
          <w:sz w:val="24"/>
          <w:szCs w:val="24"/>
        </w:rPr>
        <w:t xml:space="preserve">wealthy </w:t>
      </w:r>
      <w:r w:rsidR="7A00C284" w:rsidRPr="00B9B9B6">
        <w:rPr>
          <w:sz w:val="24"/>
          <w:szCs w:val="24"/>
        </w:rPr>
        <w:t xml:space="preserve">sophistication </w:t>
      </w:r>
      <w:r w:rsidR="50C42AAF" w:rsidRPr="00B9B9B6">
        <w:rPr>
          <w:sz w:val="24"/>
          <w:szCs w:val="24"/>
        </w:rPr>
        <w:t xml:space="preserve">and Gatsby’s </w:t>
      </w:r>
      <w:r w:rsidR="52061101" w:rsidRPr="00B9B9B6">
        <w:rPr>
          <w:sz w:val="24"/>
          <w:szCs w:val="24"/>
        </w:rPr>
        <w:t>seemingly unlimited lavishness and excitement has shifted.</w:t>
      </w:r>
    </w:p>
    <w:p w14:paraId="2A8FAEEA" w14:textId="5E4705A9" w:rsidR="52061101" w:rsidRDefault="52061101" w:rsidP="00B9B9B6">
      <w:pPr>
        <w:pStyle w:val="NoSpacing"/>
        <w:rPr>
          <w:sz w:val="24"/>
          <w:szCs w:val="24"/>
        </w:rPr>
      </w:pPr>
      <w:r w:rsidRPr="00B9B9B6">
        <w:rPr>
          <w:sz w:val="24"/>
          <w:szCs w:val="24"/>
        </w:rPr>
        <w:t xml:space="preserve">As you read </w:t>
      </w:r>
      <w:proofErr w:type="spellStart"/>
      <w:r w:rsidRPr="00B9B9B6">
        <w:rPr>
          <w:sz w:val="24"/>
          <w:szCs w:val="24"/>
        </w:rPr>
        <w:t>ch.</w:t>
      </w:r>
      <w:proofErr w:type="spellEnd"/>
      <w:r w:rsidRPr="00B9B9B6">
        <w:rPr>
          <w:sz w:val="24"/>
          <w:szCs w:val="24"/>
        </w:rPr>
        <w:t xml:space="preserve"> 7, record </w:t>
      </w:r>
      <w:r w:rsidR="3290EB5C" w:rsidRPr="00B9B9B6">
        <w:rPr>
          <w:sz w:val="24"/>
          <w:szCs w:val="24"/>
        </w:rPr>
        <w:t xml:space="preserve">at least 5 </w:t>
      </w:r>
      <w:r w:rsidRPr="00B9B9B6">
        <w:rPr>
          <w:sz w:val="24"/>
          <w:szCs w:val="24"/>
        </w:rPr>
        <w:t xml:space="preserve">quotes that reflect Nick’s change in attitude. </w:t>
      </w:r>
      <w:r w:rsidR="06ECF98A" w:rsidRPr="00B9B9B6">
        <w:rPr>
          <w:sz w:val="24"/>
          <w:szCs w:val="24"/>
        </w:rPr>
        <w:t xml:space="preserve">Record the quote in column 1. Then, in column 2, explain what attitude the quote reflects. Finally, in column 3, explain how </w:t>
      </w:r>
      <w:r w:rsidR="45252E1A" w:rsidRPr="00B9B9B6">
        <w:rPr>
          <w:sz w:val="24"/>
          <w:szCs w:val="24"/>
        </w:rPr>
        <w:t>this attitude contrasts with Nick’s earlier perspective.</w:t>
      </w:r>
    </w:p>
    <w:p w14:paraId="19C8759A" w14:textId="18073E6A" w:rsidR="00B9B9B6" w:rsidRDefault="00B9B9B6" w:rsidP="00B9B9B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20"/>
        <w:gridCol w:w="4320"/>
        <w:gridCol w:w="4320"/>
      </w:tblGrid>
      <w:tr w:rsidR="00B9B9B6" w14:paraId="43EA34B9" w14:textId="77777777" w:rsidTr="00B9B9B6">
        <w:tc>
          <w:tcPr>
            <w:tcW w:w="4320" w:type="dxa"/>
            <w:vAlign w:val="center"/>
          </w:tcPr>
          <w:p w14:paraId="56B9D523" w14:textId="2A75436B" w:rsidR="01FF87C1" w:rsidRDefault="01FF87C1" w:rsidP="00B9B9B6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B9B9B6">
              <w:rPr>
                <w:b/>
                <w:bCs/>
                <w:sz w:val="24"/>
                <w:szCs w:val="24"/>
              </w:rPr>
              <w:t>Quote</w:t>
            </w:r>
          </w:p>
        </w:tc>
        <w:tc>
          <w:tcPr>
            <w:tcW w:w="4320" w:type="dxa"/>
            <w:vAlign w:val="center"/>
          </w:tcPr>
          <w:p w14:paraId="7633AC03" w14:textId="5D6CF169" w:rsidR="01FF87C1" w:rsidRDefault="01FF87C1" w:rsidP="00B9B9B6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B9B9B6">
              <w:rPr>
                <w:b/>
                <w:bCs/>
                <w:sz w:val="24"/>
                <w:szCs w:val="24"/>
              </w:rPr>
              <w:t>What does the quote reveal about Nick’s feelings toward “the rich” or the promises of the American Dream?</w:t>
            </w:r>
          </w:p>
        </w:tc>
        <w:tc>
          <w:tcPr>
            <w:tcW w:w="4320" w:type="dxa"/>
            <w:vAlign w:val="center"/>
          </w:tcPr>
          <w:p w14:paraId="50DFBCDD" w14:textId="38B50D92" w:rsidR="01FF87C1" w:rsidRDefault="01FF87C1" w:rsidP="00B9B9B6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B9B9B6">
              <w:rPr>
                <w:b/>
                <w:bCs/>
                <w:sz w:val="24"/>
                <w:szCs w:val="24"/>
              </w:rPr>
              <w:t>How is this feeling different from his perspective earlier in the novel?</w:t>
            </w:r>
          </w:p>
        </w:tc>
      </w:tr>
      <w:tr w:rsidR="00B9B9B6" w14:paraId="2FE9ED1C" w14:textId="77777777" w:rsidTr="006E0F25">
        <w:trPr>
          <w:trHeight w:val="1026"/>
        </w:trPr>
        <w:tc>
          <w:tcPr>
            <w:tcW w:w="4320" w:type="dxa"/>
          </w:tcPr>
          <w:p w14:paraId="5C62A6EB" w14:textId="477ADB38" w:rsidR="00B9B9B6" w:rsidRDefault="00B9B9B6" w:rsidP="00B9B9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2B2C414F" w14:textId="477ADB38" w:rsidR="00B9B9B6" w:rsidRDefault="00B9B9B6" w:rsidP="00B9B9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76E4D62B" w14:textId="477ADB38" w:rsidR="00B9B9B6" w:rsidRDefault="00B9B9B6" w:rsidP="00B9B9B6">
            <w:pPr>
              <w:pStyle w:val="NoSpacing"/>
              <w:rPr>
                <w:sz w:val="24"/>
                <w:szCs w:val="24"/>
              </w:rPr>
            </w:pPr>
          </w:p>
        </w:tc>
      </w:tr>
      <w:tr w:rsidR="00B9B9B6" w14:paraId="1AEE8AEE" w14:textId="77777777" w:rsidTr="006E0F25">
        <w:trPr>
          <w:trHeight w:val="1026"/>
        </w:trPr>
        <w:tc>
          <w:tcPr>
            <w:tcW w:w="4320" w:type="dxa"/>
          </w:tcPr>
          <w:p w14:paraId="6CD41597" w14:textId="477ADB38" w:rsidR="00B9B9B6" w:rsidRDefault="00B9B9B6" w:rsidP="00B9B9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11F07118" w14:textId="477ADB38" w:rsidR="00B9B9B6" w:rsidRDefault="00B9B9B6" w:rsidP="00B9B9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015E09F9" w14:textId="477ADB38" w:rsidR="00B9B9B6" w:rsidRDefault="00B9B9B6" w:rsidP="00B9B9B6">
            <w:pPr>
              <w:pStyle w:val="NoSpacing"/>
              <w:rPr>
                <w:sz w:val="24"/>
                <w:szCs w:val="24"/>
              </w:rPr>
            </w:pPr>
          </w:p>
        </w:tc>
      </w:tr>
      <w:tr w:rsidR="00B9B9B6" w14:paraId="71E8DB89" w14:textId="77777777" w:rsidTr="006E0F25">
        <w:trPr>
          <w:trHeight w:val="1026"/>
        </w:trPr>
        <w:tc>
          <w:tcPr>
            <w:tcW w:w="4320" w:type="dxa"/>
          </w:tcPr>
          <w:p w14:paraId="7379B3C7" w14:textId="477ADB38" w:rsidR="00B9B9B6" w:rsidRDefault="00B9B9B6" w:rsidP="00B9B9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160B09C9" w14:textId="477ADB38" w:rsidR="00B9B9B6" w:rsidRDefault="00B9B9B6" w:rsidP="00B9B9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05BA2CC2" w14:textId="477ADB38" w:rsidR="00B9B9B6" w:rsidRDefault="00B9B9B6" w:rsidP="00B9B9B6">
            <w:pPr>
              <w:pStyle w:val="NoSpacing"/>
              <w:rPr>
                <w:sz w:val="24"/>
                <w:szCs w:val="24"/>
              </w:rPr>
            </w:pPr>
          </w:p>
        </w:tc>
      </w:tr>
      <w:tr w:rsidR="00B9B9B6" w14:paraId="186122E7" w14:textId="77777777" w:rsidTr="006E0F25">
        <w:trPr>
          <w:trHeight w:val="1026"/>
        </w:trPr>
        <w:tc>
          <w:tcPr>
            <w:tcW w:w="4320" w:type="dxa"/>
          </w:tcPr>
          <w:p w14:paraId="74F9F3CE" w14:textId="477ADB38" w:rsidR="00B9B9B6" w:rsidRDefault="00B9B9B6" w:rsidP="00B9B9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5BE60E55" w14:textId="477ADB38" w:rsidR="00B9B9B6" w:rsidRDefault="00B9B9B6" w:rsidP="00B9B9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6DEE1D86" w14:textId="477ADB38" w:rsidR="00B9B9B6" w:rsidRDefault="00B9B9B6" w:rsidP="00B9B9B6">
            <w:pPr>
              <w:pStyle w:val="NoSpacing"/>
              <w:rPr>
                <w:sz w:val="24"/>
                <w:szCs w:val="24"/>
              </w:rPr>
            </w:pPr>
          </w:p>
        </w:tc>
      </w:tr>
      <w:tr w:rsidR="00B9B9B6" w14:paraId="5F45E26D" w14:textId="77777777" w:rsidTr="006E0F25">
        <w:trPr>
          <w:trHeight w:val="1026"/>
        </w:trPr>
        <w:tc>
          <w:tcPr>
            <w:tcW w:w="4320" w:type="dxa"/>
          </w:tcPr>
          <w:p w14:paraId="439F86EB" w14:textId="477ADB38" w:rsidR="00B9B9B6" w:rsidRDefault="00B9B9B6" w:rsidP="00B9B9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6FF53483" w14:textId="477ADB38" w:rsidR="00B9B9B6" w:rsidRDefault="00B9B9B6" w:rsidP="00B9B9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66B08595" w14:textId="477ADB38" w:rsidR="00B9B9B6" w:rsidRDefault="00B9B9B6" w:rsidP="00B9B9B6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7E9AA177" w14:textId="61FEA693" w:rsidR="00B9B9B6" w:rsidRDefault="00B9B9B6" w:rsidP="00B9B9B6">
      <w:pPr>
        <w:pStyle w:val="NoSpacing"/>
        <w:rPr>
          <w:sz w:val="24"/>
          <w:szCs w:val="24"/>
        </w:rPr>
      </w:pPr>
    </w:p>
    <w:sectPr w:rsidR="00B9B9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BD23"/>
    <w:rsid w:val="0003BD23"/>
    <w:rsid w:val="003E1CE5"/>
    <w:rsid w:val="006E0F25"/>
    <w:rsid w:val="00B9B9B6"/>
    <w:rsid w:val="01FF87C1"/>
    <w:rsid w:val="06ECF98A"/>
    <w:rsid w:val="06FDA466"/>
    <w:rsid w:val="0755931F"/>
    <w:rsid w:val="0A39ADC4"/>
    <w:rsid w:val="0A53A118"/>
    <w:rsid w:val="0E856B56"/>
    <w:rsid w:val="1973EE9B"/>
    <w:rsid w:val="1E2D3595"/>
    <w:rsid w:val="22ADD0B0"/>
    <w:rsid w:val="295539DD"/>
    <w:rsid w:val="2E188B09"/>
    <w:rsid w:val="3290EB5C"/>
    <w:rsid w:val="43E15CCB"/>
    <w:rsid w:val="45252E1A"/>
    <w:rsid w:val="45921E6C"/>
    <w:rsid w:val="47CA2097"/>
    <w:rsid w:val="49039353"/>
    <w:rsid w:val="499BFCFF"/>
    <w:rsid w:val="49EABD68"/>
    <w:rsid w:val="4D662629"/>
    <w:rsid w:val="4E414FA1"/>
    <w:rsid w:val="4E679362"/>
    <w:rsid w:val="4F4C6079"/>
    <w:rsid w:val="509263BB"/>
    <w:rsid w:val="50C42AAF"/>
    <w:rsid w:val="52061101"/>
    <w:rsid w:val="53C7407A"/>
    <w:rsid w:val="54259318"/>
    <w:rsid w:val="57208424"/>
    <w:rsid w:val="61F6112F"/>
    <w:rsid w:val="73F0A640"/>
    <w:rsid w:val="762E52F8"/>
    <w:rsid w:val="7A00C284"/>
    <w:rsid w:val="7C90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3BD23"/>
  <w15:chartTrackingRefBased/>
  <w15:docId w15:val="{5757A125-04DF-433B-ACBA-A9894ABE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L. Coffman</dc:creator>
  <cp:keywords/>
  <dc:description/>
  <cp:lastModifiedBy>Molly Coffman</cp:lastModifiedBy>
  <cp:revision>2</cp:revision>
  <dcterms:created xsi:type="dcterms:W3CDTF">2020-04-27T15:21:00Z</dcterms:created>
  <dcterms:modified xsi:type="dcterms:W3CDTF">2020-04-27T15:40:00Z</dcterms:modified>
</cp:coreProperties>
</file>